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0FDB9083" w:rsidR="00D62441" w:rsidRPr="00D851E9" w:rsidRDefault="003416F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23669865" w:rsidR="00D62441" w:rsidRPr="00D851E9" w:rsidRDefault="00ED22C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Sanat ve Tasarım</w:t>
            </w:r>
            <w:r w:rsidR="004872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3604C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0D6AE4C0" w:rsidR="00D62441" w:rsidRPr="00D851E9" w:rsidRDefault="00ED22C9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Sanat ve Tasarım</w:t>
            </w:r>
            <w:r w:rsidR="004872FB"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  <w:r w:rsidR="00083E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Dekanlığı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28CC0546" w:rsidR="00083E06" w:rsidRDefault="00083E06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167622F1" w:rsidR="009924C7" w:rsidRDefault="009924C7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3505D0BC" w14:textId="463CED76" w:rsidR="00B03E1C" w:rsidRPr="00B03E1C" w:rsidRDefault="00B03E1C" w:rsidP="00B03E1C">
            <w:pPr>
              <w:pStyle w:val="ListeParagraf"/>
              <w:numPr>
                <w:ilvl w:val="0"/>
                <w:numId w:val="4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03E1C">
              <w:rPr>
                <w:rFonts w:ascii="Times New Roman" w:hAnsi="Times New Roman" w:cs="Times New Roman"/>
                <w:sz w:val="21"/>
                <w:szCs w:val="21"/>
              </w:rPr>
              <w:t>Beslenme ve Diyetetik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3B25849A" w14:textId="78682069" w:rsidR="00B03E1C" w:rsidRPr="00B03E1C" w:rsidRDefault="00B03E1C" w:rsidP="00B03E1C">
            <w:pPr>
              <w:pStyle w:val="ListeParagraf"/>
              <w:numPr>
                <w:ilvl w:val="0"/>
                <w:numId w:val="4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03E1C">
              <w:rPr>
                <w:rFonts w:ascii="Times New Roman" w:hAnsi="Times New Roman" w:cs="Times New Roman"/>
                <w:sz w:val="21"/>
                <w:szCs w:val="21"/>
              </w:rPr>
              <w:t>Dil ve Konuşma Terapisi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295CECA7" w14:textId="09FA0E0F" w:rsidR="00B03E1C" w:rsidRPr="00B03E1C" w:rsidRDefault="00B03E1C" w:rsidP="00B03E1C">
            <w:pPr>
              <w:pStyle w:val="ListeParagraf"/>
              <w:numPr>
                <w:ilvl w:val="0"/>
                <w:numId w:val="4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03E1C">
              <w:rPr>
                <w:rFonts w:ascii="Times New Roman" w:hAnsi="Times New Roman" w:cs="Times New Roman"/>
                <w:sz w:val="21"/>
                <w:szCs w:val="21"/>
              </w:rPr>
              <w:t>Fizyoterapi ve Rehabilitasyon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384E47FD" w14:textId="0D891F3E" w:rsidR="00B03E1C" w:rsidRPr="00B03E1C" w:rsidRDefault="00B03E1C" w:rsidP="007E4140">
            <w:pPr>
              <w:pStyle w:val="ListeParagraf"/>
              <w:numPr>
                <w:ilvl w:val="0"/>
                <w:numId w:val="4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03E1C">
              <w:rPr>
                <w:rFonts w:ascii="Times New Roman" w:hAnsi="Times New Roman" w:cs="Times New Roman"/>
                <w:sz w:val="21"/>
                <w:szCs w:val="21"/>
              </w:rPr>
              <w:t>Hemşirelik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r w:rsidR="00CF3276">
              <w:rPr>
                <w:rFonts w:ascii="Times New Roman" w:hAnsi="Times New Roman" w:cs="Times New Roman"/>
                <w:sz w:val="21"/>
                <w:szCs w:val="21"/>
              </w:rPr>
              <w:t>Enstitüsü</w:t>
            </w:r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60805202" w:rsidR="006B1435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  <w:r w:rsidR="00044C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365E89EB" w14:textId="77777777" w:rsidR="007E4140" w:rsidRDefault="007E4140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>tarafından belirlenir ve EBYS (Elektronik Belge Yönetim Sistemi) üzerinden görevlendirme yapılır.</w:t>
            </w:r>
          </w:p>
          <w:p w14:paraId="615B579B" w14:textId="4271A170" w:rsidR="00044CDA" w:rsidRPr="00D851E9" w:rsidRDefault="00044CDA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105ADBD0" w:rsidR="00D62441" w:rsidRPr="00D851E9" w:rsidRDefault="000335F0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Dekan tarafından belirlenen minimum Dr. Öğr. Üyesi kadrosundan bir kişi.</w:t>
            </w:r>
            <w:r w:rsidR="00B03E1C">
              <w:rPr>
                <w:rFonts w:ascii="Times New Roman" w:hAnsi="Times New Roman" w:cs="Times New Roman"/>
                <w:sz w:val="21"/>
                <w:szCs w:val="21"/>
              </w:rPr>
              <w:t xml:space="preserve"> Tercihen sağlık konusunda uzman.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08AF6F9E" w:rsidR="006B1435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06F6E74B" w:rsidR="00B66A2B" w:rsidRPr="00D851E9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3F387F43" w:rsidR="00606B25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Fakültenin vizyonu, misyonu doğrultusunda eğitim ve öğretimi gerçekleştirmek için gerekli tüm faaliyetlerinin etkenlik ve verimlilik ilkelerine uygun olarak yürüt</w:t>
            </w:r>
            <w:r w:rsidR="00C1764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 Dekana yardımcı olmak.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7BEA5481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Öğr. Üyesi 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 w:rsidR="00606B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yi Derecede İngilizce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İdari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Olarak En Az 1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907300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C176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EF6316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 w:rsidR="004D4A3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EF6316" w:rsidRPr="00D851E9" w:rsidRDefault="004D4A32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DC4905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D3C8C0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26CB3C1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C7CB0C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EE8A94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D1D3F5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0C046F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44D59E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B802A2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820D7EC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AAB3AE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10A8B35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>
        <w:rPr>
          <w:rFonts w:ascii="Times New Roman" w:hAnsi="Times New Roman" w:cs="Times New Roman"/>
          <w:sz w:val="24"/>
          <w:szCs w:val="24"/>
        </w:rPr>
        <w:t>Fakültenin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Dekanlığa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73679618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süreçlerine ait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incelenme</w:t>
      </w:r>
      <w:r>
        <w:rPr>
          <w:rFonts w:ascii="Times New Roman" w:hAnsi="Times New Roman" w:cs="Times New Roman"/>
          <w:sz w:val="24"/>
          <w:szCs w:val="24"/>
        </w:rPr>
        <w:t>k.</w:t>
      </w:r>
      <w:r w:rsidRPr="00C7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1EF85F54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görevlendirmesi ile Akademik Birimi Kalite Kurulu toplantılarına katılıp, kurulun efektif çalışmasını sağlamak.</w:t>
      </w:r>
    </w:p>
    <w:p w14:paraId="468213A8" w14:textId="4D744D8B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akreditasyon çalışmalarına destek vermek. Kalite kültürünün öğretim elemanlarına yayılması için; Dekanlık olarak koordineli hareket etmek.</w:t>
      </w:r>
    </w:p>
    <w:p w14:paraId="4727F317" w14:textId="7C7BF543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Dekanlık onayı ile Rektörlüğe arz etmek.</w:t>
      </w:r>
    </w:p>
    <w:p w14:paraId="52EB9FAB" w14:textId="58ADA51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>Eğitim-öğretim dönemi sonunda hazırlanan fakülte faaliyet raporunda sorumlu olduğu görevlere ait faaliyet raporunu hazırlamak.</w:t>
      </w:r>
    </w:p>
    <w:p w14:paraId="6E8EA170" w14:textId="187D2D74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lastRenderedPageBreak/>
        <w:t>Fakültenin eğitim-öğretim faaliyetlerinin aksamadan yürütülmesini sağlamak</w:t>
      </w:r>
      <w:r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4EEFC8BC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Fakülte Yönetim Kurulu veya Fakülte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6ED737A" w14:textId="77777777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Uzmanlık öğrencileri ve asistanlarla ilgili süreçleri düzenlemek, kontrol etmek ve yürütmek.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6E4CC28F" w:rsidR="00245FDA" w:rsidRPr="00F06C26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gramStart"/>
      <w:r w:rsidR="006B55C0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Rehberi </w:t>
      </w:r>
      <w:r w:rsidR="006B55C0">
        <w:rPr>
          <w:rFonts w:ascii="Times New Roman" w:hAnsi="Times New Roman" w:cs="Times New Roman"/>
          <w:sz w:val="24"/>
          <w:szCs w:val="24"/>
        </w:rPr>
        <w:t>”ne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Her yıl Fakülte paydaş listelerinin gözden geçirilmesi ve güncellenmesini sağlamak.</w:t>
      </w:r>
    </w:p>
    <w:p w14:paraId="2F95D6CF" w14:textId="4FBFF3A9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Paydaşlar ile iletişim toplantıları düzenlemek ve yapılan toplantıların kararlarına göre; fakülte süreçlerinde iyileştirme yapılmasını sağlamak.</w:t>
      </w:r>
    </w:p>
    <w:p w14:paraId="5094B897" w14:textId="508E4D98" w:rsidR="00C71BE6" w:rsidRPr="00BC4FE8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Dekanlık ile koordineli çalışmak.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55BB8581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Dekan 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09889E2E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oryantasyon programlarının planlarını hazırlamak ve Dekanlık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7DE3EBE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fakültenin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41571B4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dekanlık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636A6CAF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>orumlu olduğu alanlar ile ilgili güncel mevzuatı izlemek ve Dekanlığa 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7D75F214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lastRenderedPageBreak/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>
        <w:rPr>
          <w:rFonts w:ascii="Times New Roman" w:hAnsi="Times New Roman" w:cs="Times New Roman"/>
          <w:sz w:val="24"/>
          <w:szCs w:val="24"/>
        </w:rPr>
        <w:t>Dekanlık onayı ile sağlamak.</w:t>
      </w:r>
    </w:p>
    <w:p w14:paraId="4329213D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Fakültenin satın alma ihtiyaçlarını belirleyerek Dekanlığa arz etmek. </w:t>
      </w:r>
    </w:p>
    <w:p w14:paraId="6FA6EE10" w14:textId="17DF3B10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Fakülteye alınacak ya da diğer birimlerde yaptırılacak araç, gereç ve malzemelerle ilgili olarak o birim amirleri ile görüşmelerde bulunmak, onların görüş ve önerilerini almak. </w:t>
      </w:r>
    </w:p>
    <w:p w14:paraId="1A3CE778" w14:textId="6B0502D2" w:rsidR="00F06C26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43382C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 tarafından düzenlenecek konferans, panel, toplantı, sempozyum, seminer, yemek, gezi, teknik gezi gibi etkinlikleri organize etmek. </w:t>
      </w:r>
    </w:p>
    <w:p w14:paraId="6DF51E76" w14:textId="09E161F1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Fakültede açılacak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35C99740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fakülte temsilcisi seçimlerini düzenlemek bu temsilcilerle yapılacak toplantılara Dekanlık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77777777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Dekanın görevlendirmesiyle diğer Dekan Yardımcının yerine vekalet etmek.</w:t>
      </w:r>
    </w:p>
    <w:p w14:paraId="202F2D65" w14:textId="1B7B1AAF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görevlendirmesiyle gerekirse Dekana vekalet etmek.</w:t>
      </w:r>
    </w:p>
    <w:p w14:paraId="79E3E8FE" w14:textId="61027399" w:rsidR="00A840D9" w:rsidRDefault="00A840D9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verdiği diğer görevleri yapmak.</w:t>
      </w:r>
    </w:p>
    <w:p w14:paraId="11732921" w14:textId="4882775D" w:rsidR="00A840D9" w:rsidRPr="0021077C" w:rsidRDefault="00A840D9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Dekan tarafından Dekan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7EE8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D785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7E26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Pr="00AD505E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9363F" w14:textId="77777777" w:rsidR="009232A0" w:rsidRDefault="009232A0" w:rsidP="00957025">
      <w:pPr>
        <w:spacing w:after="0" w:line="240" w:lineRule="auto"/>
      </w:pPr>
      <w:r>
        <w:separator/>
      </w:r>
    </w:p>
  </w:endnote>
  <w:endnote w:type="continuationSeparator" w:id="0">
    <w:p w14:paraId="3190919D" w14:textId="77777777" w:rsidR="009232A0" w:rsidRDefault="009232A0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3AAA" w14:textId="77777777" w:rsidR="005B73A6" w:rsidRDefault="005B73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485F2395" w:rsidR="00154978" w:rsidRPr="00D62441" w:rsidRDefault="005B73A6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343A7CB" w14:textId="77777777" w:rsidR="005B73A6" w:rsidRDefault="005B73A6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4377BABC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F84EF61" w14:textId="77777777" w:rsidR="005B73A6" w:rsidRDefault="005B73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1D1FDBC" w14:textId="77777777" w:rsidR="005B73A6" w:rsidRDefault="005B73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341DAF11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A75FD9B" w14:textId="77777777" w:rsidR="005B73A6" w:rsidRDefault="005B73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43BB1088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F5D9756" w14:textId="77777777" w:rsidR="005B73A6" w:rsidRDefault="005B73A6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7AF4E0B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31B34801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B03E1C">
          <w:rPr>
            <w:rFonts w:ascii="Times New Roman" w:hAnsi="Times New Roman" w:cs="Times New Roman"/>
            <w:sz w:val="20"/>
            <w:szCs w:val="20"/>
          </w:rPr>
          <w:t>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4E43" w14:textId="77777777" w:rsidR="005B73A6" w:rsidRDefault="005B73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F6AE" w14:textId="77777777" w:rsidR="009232A0" w:rsidRDefault="009232A0" w:rsidP="00957025">
      <w:pPr>
        <w:spacing w:after="0" w:line="240" w:lineRule="auto"/>
      </w:pPr>
      <w:r>
        <w:separator/>
      </w:r>
    </w:p>
  </w:footnote>
  <w:footnote w:type="continuationSeparator" w:id="0">
    <w:p w14:paraId="784BF1CE" w14:textId="77777777" w:rsidR="009232A0" w:rsidRDefault="009232A0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6A44" w14:textId="77777777" w:rsidR="005B73A6" w:rsidRDefault="005B73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712694D5" w:rsidR="00BF12F3" w:rsidRPr="00FE343A" w:rsidRDefault="00ED22C9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SA</w:t>
    </w:r>
    <w:r w:rsidR="00B03E1C">
      <w:rPr>
        <w:rFonts w:ascii="Times New Roman" w:hAnsi="Times New Roman" w:cs="Times New Roman"/>
        <w:color w:val="990033"/>
        <w:sz w:val="28"/>
        <w:szCs w:val="28"/>
      </w:rPr>
      <w:t>ĞLIK BİLİMLERİ</w:t>
    </w:r>
    <w:r w:rsidR="00232D23">
      <w:rPr>
        <w:rFonts w:ascii="Times New Roman" w:hAnsi="Times New Roman" w:cs="Times New Roman"/>
        <w:color w:val="990033"/>
        <w:sz w:val="28"/>
        <w:szCs w:val="28"/>
      </w:rPr>
      <w:t xml:space="preserve"> </w:t>
    </w:r>
    <w:r w:rsidR="006C1AB0" w:rsidRPr="00FE343A">
      <w:rPr>
        <w:rFonts w:ascii="Times New Roman" w:hAnsi="Times New Roman" w:cs="Times New Roman"/>
        <w:color w:val="990033"/>
        <w:sz w:val="28"/>
        <w:szCs w:val="28"/>
      </w:rPr>
      <w:t xml:space="preserve">FAKÜLTESİ </w:t>
    </w:r>
  </w:p>
  <w:p w14:paraId="42DFAD91" w14:textId="679D5F7D" w:rsidR="00FF4A61" w:rsidRPr="00907300" w:rsidRDefault="003416FA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DEKAN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CBE13" w14:textId="77777777" w:rsidR="005B73A6" w:rsidRDefault="005B73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692E"/>
    <w:multiLevelType w:val="hybridMultilevel"/>
    <w:tmpl w:val="A6A0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4"/>
  </w:num>
  <w:num w:numId="2" w16cid:durableId="1598173814">
    <w:abstractNumId w:val="19"/>
  </w:num>
  <w:num w:numId="3" w16cid:durableId="489562452">
    <w:abstractNumId w:val="36"/>
  </w:num>
  <w:num w:numId="4" w16cid:durableId="1388726418">
    <w:abstractNumId w:val="10"/>
  </w:num>
  <w:num w:numId="5" w16cid:durableId="1079250056">
    <w:abstractNumId w:val="13"/>
  </w:num>
  <w:num w:numId="6" w16cid:durableId="2001734124">
    <w:abstractNumId w:val="32"/>
  </w:num>
  <w:num w:numId="7" w16cid:durableId="1606035858">
    <w:abstractNumId w:val="30"/>
  </w:num>
  <w:num w:numId="8" w16cid:durableId="1926301587">
    <w:abstractNumId w:val="26"/>
  </w:num>
  <w:num w:numId="9" w16cid:durableId="1154875534">
    <w:abstractNumId w:val="6"/>
  </w:num>
  <w:num w:numId="10" w16cid:durableId="71045868">
    <w:abstractNumId w:val="0"/>
  </w:num>
  <w:num w:numId="11" w16cid:durableId="242230114">
    <w:abstractNumId w:val="29"/>
  </w:num>
  <w:num w:numId="12" w16cid:durableId="817960546">
    <w:abstractNumId w:val="14"/>
  </w:num>
  <w:num w:numId="13" w16cid:durableId="1420366045">
    <w:abstractNumId w:val="15"/>
  </w:num>
  <w:num w:numId="14" w16cid:durableId="500705402">
    <w:abstractNumId w:val="43"/>
  </w:num>
  <w:num w:numId="15" w16cid:durableId="413087816">
    <w:abstractNumId w:val="20"/>
  </w:num>
  <w:num w:numId="16" w16cid:durableId="1925918996">
    <w:abstractNumId w:val="31"/>
  </w:num>
  <w:num w:numId="17" w16cid:durableId="79522000">
    <w:abstractNumId w:val="40"/>
  </w:num>
  <w:num w:numId="18" w16cid:durableId="950891145">
    <w:abstractNumId w:val="41"/>
  </w:num>
  <w:num w:numId="19" w16cid:durableId="863010545">
    <w:abstractNumId w:val="4"/>
  </w:num>
  <w:num w:numId="20" w16cid:durableId="629363853">
    <w:abstractNumId w:val="42"/>
  </w:num>
  <w:num w:numId="21" w16cid:durableId="1624339376">
    <w:abstractNumId w:val="28"/>
  </w:num>
  <w:num w:numId="22" w16cid:durableId="72432805">
    <w:abstractNumId w:val="38"/>
  </w:num>
  <w:num w:numId="23" w16cid:durableId="958874975">
    <w:abstractNumId w:val="3"/>
  </w:num>
  <w:num w:numId="24" w16cid:durableId="22051512">
    <w:abstractNumId w:val="21"/>
  </w:num>
  <w:num w:numId="25" w16cid:durableId="1175418039">
    <w:abstractNumId w:val="18"/>
  </w:num>
  <w:num w:numId="26" w16cid:durableId="1673532151">
    <w:abstractNumId w:val="16"/>
  </w:num>
  <w:num w:numId="27" w16cid:durableId="1361129135">
    <w:abstractNumId w:val="5"/>
  </w:num>
  <w:num w:numId="28" w16cid:durableId="541017322">
    <w:abstractNumId w:val="33"/>
  </w:num>
  <w:num w:numId="29" w16cid:durableId="94793514">
    <w:abstractNumId w:val="11"/>
  </w:num>
  <w:num w:numId="30" w16cid:durableId="1874463194">
    <w:abstractNumId w:val="2"/>
  </w:num>
  <w:num w:numId="31" w16cid:durableId="1601251898">
    <w:abstractNumId w:val="12"/>
  </w:num>
  <w:num w:numId="32" w16cid:durableId="1399280074">
    <w:abstractNumId w:val="39"/>
  </w:num>
  <w:num w:numId="33" w16cid:durableId="844366774">
    <w:abstractNumId w:val="37"/>
  </w:num>
  <w:num w:numId="34" w16cid:durableId="1557350992">
    <w:abstractNumId w:val="9"/>
  </w:num>
  <w:num w:numId="35" w16cid:durableId="1396397366">
    <w:abstractNumId w:val="27"/>
  </w:num>
  <w:num w:numId="36" w16cid:durableId="1752237873">
    <w:abstractNumId w:val="8"/>
  </w:num>
  <w:num w:numId="37" w16cid:durableId="440733432">
    <w:abstractNumId w:val="34"/>
  </w:num>
  <w:num w:numId="38" w16cid:durableId="469521514">
    <w:abstractNumId w:val="25"/>
  </w:num>
  <w:num w:numId="39" w16cid:durableId="1541894017">
    <w:abstractNumId w:val="27"/>
  </w:num>
  <w:num w:numId="40" w16cid:durableId="273248057">
    <w:abstractNumId w:val="17"/>
  </w:num>
  <w:num w:numId="41" w16cid:durableId="2004242042">
    <w:abstractNumId w:val="35"/>
  </w:num>
  <w:num w:numId="42" w16cid:durableId="329914346">
    <w:abstractNumId w:val="7"/>
  </w:num>
  <w:num w:numId="43" w16cid:durableId="589042098">
    <w:abstractNumId w:val="1"/>
  </w:num>
  <w:num w:numId="44" w16cid:durableId="780221638">
    <w:abstractNumId w:val="22"/>
  </w:num>
  <w:num w:numId="45" w16cid:durableId="3094084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3E06"/>
    <w:rsid w:val="00094720"/>
    <w:rsid w:val="000A5F75"/>
    <w:rsid w:val="000B3652"/>
    <w:rsid w:val="000B608B"/>
    <w:rsid w:val="000D77E5"/>
    <w:rsid w:val="000E6BF5"/>
    <w:rsid w:val="000F6D74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2D23"/>
    <w:rsid w:val="00245FDA"/>
    <w:rsid w:val="00250ACB"/>
    <w:rsid w:val="00251395"/>
    <w:rsid w:val="002514B0"/>
    <w:rsid w:val="00255E39"/>
    <w:rsid w:val="00260E47"/>
    <w:rsid w:val="0029267F"/>
    <w:rsid w:val="00296AB9"/>
    <w:rsid w:val="002A0FB5"/>
    <w:rsid w:val="002B2132"/>
    <w:rsid w:val="002B54C2"/>
    <w:rsid w:val="002B682A"/>
    <w:rsid w:val="002D343D"/>
    <w:rsid w:val="0030735B"/>
    <w:rsid w:val="003164C0"/>
    <w:rsid w:val="003416FA"/>
    <w:rsid w:val="00344B67"/>
    <w:rsid w:val="00344D93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60B20"/>
    <w:rsid w:val="004870BE"/>
    <w:rsid w:val="004872FB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07ADC"/>
    <w:rsid w:val="00511738"/>
    <w:rsid w:val="00513128"/>
    <w:rsid w:val="00532978"/>
    <w:rsid w:val="00532AF7"/>
    <w:rsid w:val="005421F9"/>
    <w:rsid w:val="00573E2D"/>
    <w:rsid w:val="00576EEE"/>
    <w:rsid w:val="0058043E"/>
    <w:rsid w:val="005A47DD"/>
    <w:rsid w:val="005B73A6"/>
    <w:rsid w:val="005C7E08"/>
    <w:rsid w:val="005D715A"/>
    <w:rsid w:val="00604C0D"/>
    <w:rsid w:val="00606B25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B55C0"/>
    <w:rsid w:val="006C1AB0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6C0"/>
    <w:rsid w:val="008335F8"/>
    <w:rsid w:val="00835BF8"/>
    <w:rsid w:val="008506A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7300"/>
    <w:rsid w:val="00917260"/>
    <w:rsid w:val="0092050A"/>
    <w:rsid w:val="009232A0"/>
    <w:rsid w:val="009454EE"/>
    <w:rsid w:val="00953F0F"/>
    <w:rsid w:val="009568B8"/>
    <w:rsid w:val="00957025"/>
    <w:rsid w:val="0096453C"/>
    <w:rsid w:val="00970916"/>
    <w:rsid w:val="00973C41"/>
    <w:rsid w:val="009873B8"/>
    <w:rsid w:val="009924C7"/>
    <w:rsid w:val="00995D53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840D9"/>
    <w:rsid w:val="00AD36F8"/>
    <w:rsid w:val="00AD505E"/>
    <w:rsid w:val="00B03E1C"/>
    <w:rsid w:val="00B050D4"/>
    <w:rsid w:val="00B11E25"/>
    <w:rsid w:val="00B13B55"/>
    <w:rsid w:val="00B13FFA"/>
    <w:rsid w:val="00B176A9"/>
    <w:rsid w:val="00B23DB1"/>
    <w:rsid w:val="00B275EE"/>
    <w:rsid w:val="00B4662B"/>
    <w:rsid w:val="00B55EC4"/>
    <w:rsid w:val="00B573F6"/>
    <w:rsid w:val="00B66A2B"/>
    <w:rsid w:val="00B81EA6"/>
    <w:rsid w:val="00B84266"/>
    <w:rsid w:val="00BB1EEB"/>
    <w:rsid w:val="00BC4FE8"/>
    <w:rsid w:val="00BE694A"/>
    <w:rsid w:val="00BF12F3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3679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307DA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57055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95</cp:revision>
  <dcterms:created xsi:type="dcterms:W3CDTF">2022-05-26T13:19:00Z</dcterms:created>
  <dcterms:modified xsi:type="dcterms:W3CDTF">2025-01-27T08:42:00Z</dcterms:modified>
</cp:coreProperties>
</file>